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33"/>
        <w:tblW w:w="0" w:type="auto"/>
        <w:tblLook w:val="04A0"/>
      </w:tblPr>
      <w:tblGrid>
        <w:gridCol w:w="9571"/>
      </w:tblGrid>
      <w:tr w:rsidR="00C52974" w:rsidTr="00C52974">
        <w:tc>
          <w:tcPr>
            <w:tcW w:w="9571" w:type="dxa"/>
          </w:tcPr>
          <w:p w:rsidR="00C52974" w:rsidRDefault="00C52974" w:rsidP="00C52974">
            <w:pPr>
              <w:pStyle w:val="1"/>
              <w:spacing w:line="360" w:lineRule="auto"/>
              <w:jc w:val="center"/>
            </w:pPr>
            <w:r>
              <w:t>КУРСОВАЯ ПОДГОТОКА УЧИТЕЛЕЙ за 2024 год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ФГОС НОО: преподавание учебного курса "Основы религиозных культур и светской этики"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Преподавание ОРКСЭ/ОДНКНР в условиях реализации обновлённых ФГОС НОО/ООО"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Организация образования обучающихся с ОВЗ в соответствии с обновленным ФГОС ООО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 xml:space="preserve">"Школа </w:t>
            </w:r>
            <w:r>
              <w:t>Минпросвещения России:новые возможности для повышения качества образования"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Куратор контента - новая роль педагога (учителя) в цифровой педагогике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Подготовка должностных лиц, входящих в состав эвакуационных органов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Реализация требований обновленных ФГОС</w:t>
            </w:r>
            <w:r>
              <w:t xml:space="preserve"> НОО, ФГОС ООО в работе учителя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Модернизация содержания и технологий обучения химии с целью развития функциональной грамотности обучающихся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Реализация программ изучения физики на углубленном уровне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Реализация программ изучения химии на углубленном уровн</w:t>
            </w:r>
            <w:r>
              <w:t>е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«Актуальные аспекты предметно – методической подготовки экспертов ГИА по программам основного общего образования. Химия»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Реализация программ изучения биологии на углубленном уровне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 xml:space="preserve">«Актуальные аспекты предметно – методической подготовки экспертов ГИА </w:t>
            </w:r>
            <w:r>
              <w:t>по программам основного общего образования. Биология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Функциональная грамотность: как применять знания в жизни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Развитие профессиональной компетентности современного руководителя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Противодействие коррупции в государственных и муниципальных учреждениях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Осо</w:t>
            </w:r>
            <w:r>
              <w:t>бенности преподавания учебного предмета "Основы безопасности и защиты Родины" в условиях внесения изменений Ф ФОП ООО и ФОП СОО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Актуальные аспекты воспитательной деятельности классного руководителя в современной школе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Изучение теории вероятности в школьн</w:t>
            </w:r>
            <w:r>
              <w:t>ом курсе математики в условиях перехода к обновленным ФГОС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Функциональная грамотность. Глобальные компетенции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Актуальные вопросы подготовки обучающихся к ГИА по истории и обществознанию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Развитие креативного мышления обучающихся на уроках и во внеурочной</w:t>
            </w:r>
            <w:r>
              <w:t xml:space="preserve"> деятельности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Обработка персональных данных в образовательных организациях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Преподавание курса "Семьеведение" согласно ФГОС и ФООП ООО и СОО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Двигательная активность как важнейший фактор развития здорового ребенка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lastRenderedPageBreak/>
              <w:t xml:space="preserve">Нейропсихологическая диагностика и </w:t>
            </w:r>
            <w:r>
              <w:t>коррекция дислексии, дисграфии, дискалькулии у младших школьников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"</w:t>
            </w:r>
            <w:r>
              <w:t>Билет в будущее" и Единой модели профориентации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Кризисная психология: актуальные вопросы и новые методы работы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Обучение учебному предмету "Труд (технология)" в условиях внесения изменений в ФОП ООО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Антибуллинг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Буллинг: вызовы и решения в воспитании и о</w:t>
            </w:r>
            <w:r>
              <w:t>бразовании детей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Организация воспитательного процесса: воспитательная работа , дополнительное образование, внеурочная деятельность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Деятельность классного руководителя в соответствии с ФГОС в условиях современной школы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Подготовка экспертов предметной ком</w:t>
            </w:r>
            <w:r>
              <w:t>иссии ГИА по программам основного общего образования. Русский язык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Развитие предметных и методических компетенций учителей русского языка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Работа с хоровым коллективом в общеобразовательной школе"</w:t>
            </w:r>
            <w:r>
              <w:br/>
              <w:t xml:space="preserve">Программа ФГ для младших школьников на 2024-2025 учебный </w:t>
            </w:r>
            <w:r>
              <w:t>год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Детский фитнес в работе с детьми старшего дошкольного и младшего школьного возраста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Конкурсное движение как формат непрерывного профессионального образования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Подготовка руководителей и должностных лиц, ответственных за проведение мероприятий по обес</w:t>
            </w:r>
            <w:r>
              <w:t>печению антитеррористической защищенности объектов (территорий)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Современные образовательные технологии формирова</w:t>
            </w:r>
            <w:r>
              <w:t>ния читательской грамотности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Функциональная и цифровая грамотность школьника в творческом и уровневом освоении сложных математических объектов, процедур и явлений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Всестороннее развитие личности ученика: идеи для организации внеурочной деятельности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Прове</w:t>
            </w:r>
            <w:r>
              <w:t>рка знаний по пожарной безопасности</w:t>
            </w:r>
            <w:r>
              <w:br/>
              <w:t>Требования по охране труда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>Внутренняя система оценки качества образования развития ОО в соответствии с обновленными ФГОС и ФООП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lastRenderedPageBreak/>
              <w:t>Информатика: теория и методика преподавания в образовательной организации</w:t>
            </w:r>
          </w:p>
        </w:tc>
      </w:tr>
      <w:tr w:rsidR="005F35EF" w:rsidTr="00C52974">
        <w:tc>
          <w:tcPr>
            <w:tcW w:w="9571" w:type="dxa"/>
          </w:tcPr>
          <w:p w:rsidR="005F35EF" w:rsidRDefault="003008F1" w:rsidP="00C52974">
            <w:pPr>
              <w:pStyle w:val="1"/>
              <w:spacing w:line="360" w:lineRule="auto"/>
            </w:pPr>
            <w:r>
              <w:t xml:space="preserve">Использование </w:t>
            </w:r>
            <w:r>
              <w:t>нейросетей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</w:t>
            </w:r>
          </w:p>
        </w:tc>
      </w:tr>
    </w:tbl>
    <w:p w:rsidR="005F35EF" w:rsidRDefault="005F35EF" w:rsidP="00C52974">
      <w:pPr>
        <w:spacing w:line="360" w:lineRule="auto"/>
      </w:pPr>
    </w:p>
    <w:p w:rsidR="005F35EF" w:rsidRDefault="005F35EF" w:rsidP="00C529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35EF" w:rsidSect="005F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F1" w:rsidRDefault="003008F1">
      <w:pPr>
        <w:spacing w:line="240" w:lineRule="auto"/>
      </w:pPr>
      <w:r>
        <w:separator/>
      </w:r>
    </w:p>
  </w:endnote>
  <w:endnote w:type="continuationSeparator" w:id="0">
    <w:p w:rsidR="003008F1" w:rsidRDefault="00300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F1" w:rsidRDefault="003008F1">
      <w:pPr>
        <w:spacing w:after="0"/>
      </w:pPr>
      <w:r>
        <w:separator/>
      </w:r>
    </w:p>
  </w:footnote>
  <w:footnote w:type="continuationSeparator" w:id="0">
    <w:p w:rsidR="003008F1" w:rsidRDefault="003008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161"/>
    <w:rsid w:val="002205DC"/>
    <w:rsid w:val="002B7CDA"/>
    <w:rsid w:val="002D19AC"/>
    <w:rsid w:val="003008F1"/>
    <w:rsid w:val="00306D96"/>
    <w:rsid w:val="0032411B"/>
    <w:rsid w:val="00552083"/>
    <w:rsid w:val="005F35EF"/>
    <w:rsid w:val="00956161"/>
    <w:rsid w:val="009B02F5"/>
    <w:rsid w:val="00C30740"/>
    <w:rsid w:val="00C429C8"/>
    <w:rsid w:val="00C52974"/>
    <w:rsid w:val="00D1291B"/>
    <w:rsid w:val="00DD251D"/>
    <w:rsid w:val="00E337C8"/>
    <w:rsid w:val="17CB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F35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F35EF"/>
    <w:pPr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2">
    <w:name w:val="Обычный2"/>
    <w:qFormat/>
    <w:rsid w:val="005F35EF"/>
    <w:pPr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2025-04-17T04:13:00Z</dcterms:created>
  <dcterms:modified xsi:type="dcterms:W3CDTF">2025-04-17T06:13:00Z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AB0CA06FCB3D4342841714857B5B743A_12</vt:lpwstr>
  </property>
</Properties>
</file>